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0" w:after="0"/>
        <w:rPr/>
      </w:pPr>
      <w:r>
        <w:rPr>
          <w:rFonts w:cs="Calibri" w:ascii="Calibri" w:hAnsi="Calibri"/>
          <w:b/>
          <w:bCs/>
          <w:color w:val="212121"/>
          <w:sz w:val="40"/>
          <w:szCs w:val="40"/>
        </w:rPr>
        <w:t>Twin Cities Pride Board of Directors</w:t>
      </w:r>
    </w:p>
    <w:p>
      <w:pPr>
        <w:pStyle w:val="Western"/>
        <w:spacing w:lineRule="auto" w:line="240" w:before="280" w:after="0"/>
        <w:rPr/>
      </w:pPr>
      <w:r>
        <w:rPr>
          <w:rFonts w:cs="Calibri" w:ascii="Calibri" w:hAnsi="Calibri"/>
          <w:b/>
          <w:bCs/>
          <w:sz w:val="26"/>
          <w:szCs w:val="26"/>
        </w:rPr>
        <w:t>Our Mission</w:t>
      </w:r>
    </w:p>
    <w:p>
      <w:pPr>
        <w:pStyle w:val="Western"/>
        <w:spacing w:lineRule="auto" w:line="240" w:before="280" w:after="0"/>
        <w:rPr>
          <w:color w:val="auto"/>
        </w:rPr>
      </w:pPr>
      <w:r>
        <w:rPr>
          <w:rFonts w:cs="Calibri" w:ascii="Calibri" w:hAnsi="Calibri"/>
          <w:color w:val="auto"/>
          <w:sz w:val="22"/>
          <w:szCs w:val="22"/>
        </w:rPr>
        <w:t>The mission of Twin Cities Pride is to empower every LGBTQ+ person to live as their true self. We envision a future where all LGBTQ+ people are valued and celebrated for who they are.</w:t>
      </w:r>
    </w:p>
    <w:p>
      <w:pPr>
        <w:pStyle w:val="Western"/>
        <w:shd w:val="clear" w:color="auto" w:fill="CCCCCC"/>
        <w:spacing w:lineRule="auto" w:line="240" w:before="280" w:after="0"/>
        <w:rPr/>
      </w:pPr>
      <w:r>
        <w:rPr>
          <w:rFonts w:cs="Calibri" w:ascii="Calibri" w:hAnsi="Calibri"/>
          <w:b/>
          <w:bCs/>
          <w:color w:val="212121"/>
          <w:sz w:val="26"/>
          <w:szCs w:val="26"/>
        </w:rPr>
        <w:t>Job Description</w:t>
      </w:r>
    </w:p>
    <w:p>
      <w:pPr>
        <w:pStyle w:val="Western"/>
        <w:spacing w:lineRule="auto" w:line="240" w:before="280" w:after="0"/>
        <w:rPr>
          <w:rFonts w:ascii="Calibri" w:hAnsi="Calibri" w:cs="Calibri"/>
          <w:color w:val="212121"/>
          <w:sz w:val="22"/>
          <w:szCs w:val="22"/>
        </w:rPr>
      </w:pPr>
      <w:r>
        <w:rPr>
          <w:rFonts w:cs="Calibri" w:ascii="Calibri" w:hAnsi="Calibri"/>
          <w:color w:val="212121"/>
          <w:sz w:val="22"/>
          <w:szCs w:val="22"/>
        </w:rPr>
        <w:t xml:space="preserve">The Board of Directors is democratically organized and values each of its members and their experience. Serving on the Board is part of a philanthropic process, which involves learning, empowerment, and commitment. </w:t>
      </w:r>
    </w:p>
    <w:p>
      <w:pPr>
        <w:pStyle w:val="Western"/>
        <w:spacing w:lineRule="auto" w:line="240" w:before="280" w:after="0"/>
        <w:rPr>
          <w:color w:val="auto"/>
        </w:rPr>
      </w:pPr>
      <w:r>
        <w:rPr>
          <w:rFonts w:cs="Calibri" w:ascii="Calibri" w:hAnsi="Calibri"/>
          <w:color w:val="auto"/>
          <w:sz w:val="22"/>
          <w:szCs w:val="22"/>
        </w:rPr>
        <w:t>The role of the Board of Directors is to provide leadership and oversight of the activities of the organization.</w:t>
      </w:r>
    </w:p>
    <w:p>
      <w:pPr>
        <w:pStyle w:val="Western"/>
        <w:spacing w:lineRule="auto" w:line="240" w:before="280" w:after="0"/>
        <w:rPr>
          <w:rFonts w:ascii="Calibri" w:hAnsi="Calibri" w:cs="Calibri"/>
          <w:color w:val="auto"/>
          <w:sz w:val="22"/>
          <w:szCs w:val="22"/>
        </w:rPr>
      </w:pPr>
      <w:r>
        <w:rPr>
          <w:rFonts w:cs="Calibri" w:ascii="Calibri" w:hAnsi="Calibri"/>
          <w:color w:val="auto"/>
          <w:sz w:val="22"/>
          <w:szCs w:val="22"/>
        </w:rPr>
        <w:t xml:space="preserve">The Twin Cities Pride Board of Directors determines the strategic direction and sets policy for the organization; ensures that it is operated in a legal, ethical and professional manner; represents the organization in the LGBTQ+ and allied community; and assists in raising funds for continued operation and fiscal stability. Collectively, the Board has direct authority over the Executive Director, who works with paid and volunteer staff to implement the policies, programs, and fundraising plans authorized and approved by the board. </w:t>
      </w:r>
    </w:p>
    <w:p>
      <w:pPr>
        <w:pStyle w:val="Western"/>
        <w:spacing w:lineRule="auto" w:line="240" w:before="280" w:after="0"/>
        <w:rPr>
          <w:color w:val="auto"/>
        </w:rPr>
      </w:pPr>
      <w:r>
        <w:rPr>
          <w:rFonts w:cs="Calibri" w:ascii="Calibri" w:hAnsi="Calibri"/>
          <w:color w:val="auto"/>
          <w:sz w:val="22"/>
          <w:szCs w:val="22"/>
        </w:rPr>
        <w:t xml:space="preserve">While Board members do not typically have direct involvement in the day-to-day business of planning and coordination of specific Pride events, they are called on to assist as needed during various events. Board members must also build a working knowledge of all events in order to set governance standards that are in the best interest of the organization. All Board members report directly to the Board Chair. </w:t>
      </w:r>
    </w:p>
    <w:p>
      <w:pPr>
        <w:pStyle w:val="Western"/>
        <w:shd w:val="clear" w:color="auto" w:fill="CCCCCC"/>
        <w:spacing w:lineRule="auto" w:line="240" w:before="280" w:after="0"/>
        <w:rPr/>
      </w:pPr>
      <w:r>
        <w:rPr>
          <w:rFonts w:cs="Calibri" w:ascii="Calibri" w:hAnsi="Calibri"/>
          <w:b/>
          <w:bCs/>
          <w:color w:val="212121"/>
          <w:sz w:val="26"/>
          <w:szCs w:val="26"/>
        </w:rPr>
        <w:t>Time Commitment</w:t>
      </w:r>
    </w:p>
    <w:p>
      <w:pPr>
        <w:pStyle w:val="Western"/>
        <w:spacing w:lineRule="auto" w:line="240" w:before="280" w:after="0"/>
        <w:rPr>
          <w:color w:val="auto"/>
        </w:rPr>
      </w:pPr>
      <w:r>
        <w:rPr>
          <w:rFonts w:cs="Calibri" w:ascii="Calibri" w:hAnsi="Calibri"/>
          <w:color w:val="212121"/>
          <w:sz w:val="22"/>
          <w:szCs w:val="22"/>
        </w:rPr>
        <w:t xml:space="preserve">Board members serve </w:t>
      </w:r>
      <w:r>
        <w:rPr>
          <w:rFonts w:cs="Calibri" w:ascii="Calibri" w:hAnsi="Calibri"/>
          <w:b/>
          <w:bCs/>
          <w:color w:val="212121"/>
          <w:sz w:val="22"/>
          <w:szCs w:val="22"/>
        </w:rPr>
        <w:t>two-year terms</w:t>
      </w:r>
      <w:r>
        <w:rPr>
          <w:rFonts w:cs="Calibri" w:ascii="Calibri" w:hAnsi="Calibri"/>
          <w:color w:val="212121"/>
          <w:sz w:val="22"/>
          <w:szCs w:val="22"/>
        </w:rPr>
        <w:t xml:space="preserve">, which </w:t>
      </w:r>
      <w:r>
        <w:rPr>
          <w:rFonts w:cs="Calibri" w:ascii="Calibri" w:hAnsi="Calibri"/>
          <w:color w:val="auto"/>
          <w:sz w:val="22"/>
          <w:szCs w:val="22"/>
        </w:rPr>
        <w:t xml:space="preserve">coincide with the organization’s fiscal calendar. If a Board member is elected during a fiscal year and serves greater than 50% of the year, it will be considered the first full year of their term. A Board member may not serve more than three (3) consecutive terms. </w:t>
      </w:r>
    </w:p>
    <w:p>
      <w:pPr>
        <w:pStyle w:val="Western"/>
        <w:spacing w:lineRule="auto" w:line="240" w:before="280" w:after="0"/>
        <w:rPr>
          <w:rFonts w:ascii="Calibri" w:hAnsi="Calibri" w:cs="Calibri"/>
          <w:strike/>
          <w:color w:val="auto"/>
          <w:sz w:val="22"/>
          <w:szCs w:val="22"/>
        </w:rPr>
      </w:pPr>
      <w:r>
        <w:rPr>
          <w:rFonts w:cs="Calibri" w:ascii="Calibri" w:hAnsi="Calibri"/>
          <w:color w:val="auto"/>
          <w:sz w:val="22"/>
          <w:szCs w:val="22"/>
        </w:rPr>
        <w:t xml:space="preserve">The Board meets monthly, usually in the evening, and may meet more often as necessary. It is a Board member’s responsibility to contact the Board Chair if they are unable to attend a meeting. Missing two (2) meetings (without timely notification to the Board Chair) will necessitate the re-evaluation of a Board member’s continued service. Committee work is done in separate meetings and/or independently at the direction of the Committee Chair and/or the Board Chair. </w:t>
      </w:r>
    </w:p>
    <w:p>
      <w:pPr>
        <w:pStyle w:val="Western"/>
        <w:spacing w:lineRule="auto" w:line="240" w:before="280" w:after="0"/>
        <w:rPr>
          <w:color w:val="auto"/>
        </w:rPr>
      </w:pPr>
      <w:r>
        <w:rPr>
          <w:rFonts w:cs="Calibri" w:ascii="Calibri" w:hAnsi="Calibri"/>
          <w:color w:val="auto"/>
          <w:sz w:val="22"/>
          <w:szCs w:val="22"/>
        </w:rPr>
        <w:t>Board members are expected to attend events produced by Twin Cities Pride. As the face of the organization to the community, Board members are additionally asked to participate in various activities and local events at which Twin Cities Pride wishes to be represented. These may include various charitable events, forums, and conferences. Board members may also be asked to represent Twin Cities Pride at regional, national, or international conferences. Board members, individually, are not expected to attend every event. However, the expectation is that at least one (1) Board member is in attendance.</w:t>
      </w:r>
    </w:p>
    <w:p>
      <w:pPr>
        <w:pStyle w:val="Western"/>
        <w:shd w:val="clear" w:color="auto" w:fill="CCCCCC"/>
        <w:spacing w:lineRule="auto" w:line="240" w:before="280" w:after="0"/>
        <w:ind w:left="360" w:hanging="360"/>
        <w:rPr/>
      </w:pPr>
      <w:r>
        <w:rPr>
          <w:rFonts w:cs="Calibri" w:ascii="Calibri" w:hAnsi="Calibri"/>
          <w:b/>
          <w:bCs/>
          <w:color w:val="212121"/>
          <w:sz w:val="26"/>
          <w:szCs w:val="26"/>
        </w:rPr>
        <w:t>Responsibilities</w:t>
      </w:r>
    </w:p>
    <w:p>
      <w:pPr>
        <w:pStyle w:val="Western"/>
        <w:spacing w:lineRule="auto" w:line="240" w:before="280" w:after="0"/>
        <w:rPr/>
      </w:pPr>
      <w:r>
        <w:rPr>
          <w:rFonts w:cs="Calibri" w:ascii="Calibri" w:hAnsi="Calibri"/>
          <w:b/>
          <w:bCs/>
          <w:color w:val="212121"/>
          <w:sz w:val="22"/>
          <w:szCs w:val="22"/>
          <w:u w:val="single"/>
        </w:rPr>
        <w:t>Administrative</w:t>
      </w:r>
    </w:p>
    <w:p>
      <w:pPr>
        <w:pStyle w:val="NormalWeb"/>
        <w:numPr>
          <w:ilvl w:val="0"/>
          <w:numId w:val="1"/>
        </w:numPr>
        <w:spacing w:lineRule="auto" w:line="240" w:before="280" w:after="0"/>
        <w:rPr/>
      </w:pPr>
      <w:r>
        <w:rPr>
          <w:rFonts w:cs="Calibri" w:ascii="Calibri" w:hAnsi="Calibri"/>
          <w:color w:val="212121"/>
          <w:sz w:val="22"/>
          <w:szCs w:val="22"/>
        </w:rPr>
        <w:t xml:space="preserve">Attend all Board and committee meetings, </w:t>
      </w:r>
      <w:r>
        <w:rPr>
          <w:rFonts w:cs="Calibri" w:ascii="Calibri" w:hAnsi="Calibri"/>
          <w:sz w:val="22"/>
          <w:szCs w:val="22"/>
        </w:rPr>
        <w:t xml:space="preserve">special </w:t>
      </w:r>
      <w:r>
        <w:rPr>
          <w:rFonts w:cs="Calibri" w:ascii="Calibri" w:hAnsi="Calibri"/>
          <w:color w:val="212121"/>
          <w:sz w:val="22"/>
          <w:szCs w:val="22"/>
        </w:rPr>
        <w:t>functions, and Pride events</w:t>
      </w:r>
    </w:p>
    <w:p>
      <w:pPr>
        <w:pStyle w:val="NormalWeb"/>
        <w:numPr>
          <w:ilvl w:val="0"/>
          <w:numId w:val="1"/>
        </w:numPr>
        <w:spacing w:lineRule="auto" w:line="240" w:before="280" w:after="0"/>
        <w:rPr/>
      </w:pPr>
      <w:r>
        <w:rPr>
          <w:rFonts w:cs="Calibri" w:ascii="Calibri" w:hAnsi="Calibri"/>
          <w:color w:val="212121"/>
          <w:sz w:val="22"/>
          <w:szCs w:val="22"/>
        </w:rPr>
        <w:t>Understand and act in accordance with the organization’s mission statement</w:t>
      </w:r>
    </w:p>
    <w:p>
      <w:pPr>
        <w:pStyle w:val="NormalWeb"/>
        <w:numPr>
          <w:ilvl w:val="0"/>
          <w:numId w:val="1"/>
        </w:numPr>
        <w:spacing w:lineRule="auto" w:line="240" w:before="280" w:after="0"/>
        <w:rPr/>
      </w:pPr>
      <w:r>
        <w:rPr>
          <w:rFonts w:cs="Calibri" w:ascii="Calibri" w:hAnsi="Calibri"/>
          <w:color w:val="212121"/>
          <w:sz w:val="22"/>
          <w:szCs w:val="22"/>
        </w:rPr>
        <w:t xml:space="preserve">Be informed </w:t>
      </w:r>
      <w:r>
        <w:rPr>
          <w:rFonts w:cs="Calibri" w:ascii="Calibri" w:hAnsi="Calibri"/>
          <w:sz w:val="22"/>
          <w:szCs w:val="22"/>
        </w:rPr>
        <w:t xml:space="preserve">about </w:t>
      </w:r>
      <w:r>
        <w:rPr>
          <w:rFonts w:cs="Calibri" w:ascii="Calibri" w:hAnsi="Calibri"/>
          <w:color w:val="212121"/>
          <w:sz w:val="22"/>
          <w:szCs w:val="22"/>
        </w:rPr>
        <w:t xml:space="preserve">the </w:t>
      </w:r>
      <w:r>
        <w:rPr>
          <w:rFonts w:cs="Calibri" w:ascii="Calibri" w:hAnsi="Calibri"/>
          <w:sz w:val="22"/>
          <w:szCs w:val="22"/>
        </w:rPr>
        <w:t xml:space="preserve">organization's rules of governance, services, </w:t>
      </w:r>
      <w:r>
        <w:rPr>
          <w:rFonts w:cs="Calibri" w:ascii="Calibri" w:hAnsi="Calibri"/>
          <w:color w:val="212121"/>
          <w:sz w:val="22"/>
          <w:szCs w:val="22"/>
        </w:rPr>
        <w:t>policies, and programs</w:t>
      </w:r>
    </w:p>
    <w:p>
      <w:pPr>
        <w:pStyle w:val="NormalWeb"/>
        <w:numPr>
          <w:ilvl w:val="0"/>
          <w:numId w:val="1"/>
        </w:numPr>
        <w:spacing w:lineRule="auto" w:line="240" w:before="280" w:after="0"/>
        <w:rPr>
          <w:color w:val="auto"/>
        </w:rPr>
      </w:pPr>
      <w:r>
        <w:rPr>
          <w:rFonts w:cs="Calibri" w:ascii="Calibri" w:hAnsi="Calibri"/>
          <w:color w:val="auto"/>
          <w:sz w:val="22"/>
          <w:szCs w:val="22"/>
        </w:rPr>
        <w:t>Be able to engage actively and respectfully in discussion of issues prior to voting</w:t>
      </w:r>
    </w:p>
    <w:p>
      <w:pPr>
        <w:pStyle w:val="NormalWeb"/>
        <w:numPr>
          <w:ilvl w:val="0"/>
          <w:numId w:val="1"/>
        </w:numPr>
        <w:spacing w:lineRule="auto" w:line="240" w:before="280" w:after="0"/>
        <w:rPr/>
      </w:pPr>
      <w:r>
        <w:rPr>
          <w:rFonts w:cs="Calibri" w:ascii="Calibri" w:hAnsi="Calibri"/>
          <w:color w:val="auto"/>
          <w:sz w:val="22"/>
          <w:szCs w:val="22"/>
        </w:rPr>
        <w:t xml:space="preserve">Use sound judgment to form opinions and weigh facts when voting on issues that </w:t>
      </w:r>
      <w:r>
        <w:rPr>
          <w:rFonts w:cs="Calibri" w:ascii="Calibri" w:hAnsi="Calibri"/>
          <w:sz w:val="22"/>
          <w:szCs w:val="22"/>
        </w:rPr>
        <w:t>impact the organization and the community</w:t>
      </w:r>
    </w:p>
    <w:p>
      <w:pPr>
        <w:pStyle w:val="NormalWeb"/>
        <w:numPr>
          <w:ilvl w:val="0"/>
          <w:numId w:val="1"/>
        </w:numPr>
        <w:spacing w:lineRule="auto" w:line="240" w:before="280" w:after="0"/>
        <w:rPr/>
      </w:pPr>
      <w:r>
        <w:rPr>
          <w:rFonts w:cs="Calibri" w:ascii="Calibri" w:hAnsi="Calibri"/>
          <w:color w:val="212121"/>
          <w:sz w:val="22"/>
          <w:szCs w:val="22"/>
        </w:rPr>
        <w:t>Check Pride email regularly and respond in a timely manner to issues or questions related to the Board or to committee assignments</w:t>
      </w:r>
    </w:p>
    <w:p>
      <w:pPr>
        <w:pStyle w:val="NormalWeb"/>
        <w:numPr>
          <w:ilvl w:val="0"/>
          <w:numId w:val="1"/>
        </w:numPr>
        <w:spacing w:lineRule="auto" w:line="240" w:before="280" w:after="0"/>
        <w:rPr/>
      </w:pPr>
      <w:r>
        <w:rPr>
          <w:rFonts w:cs="Calibri" w:ascii="Calibri" w:hAnsi="Calibri"/>
          <w:color w:val="212121"/>
          <w:sz w:val="22"/>
          <w:szCs w:val="22"/>
        </w:rPr>
        <w:t xml:space="preserve">Review agenda and supporting materials prior </w:t>
      </w:r>
      <w:r>
        <w:rPr>
          <w:rFonts w:cs="Calibri" w:ascii="Calibri" w:hAnsi="Calibri"/>
          <w:sz w:val="22"/>
          <w:szCs w:val="22"/>
        </w:rPr>
        <w:t xml:space="preserve">to </w:t>
      </w:r>
      <w:r>
        <w:rPr>
          <w:rFonts w:cs="Calibri" w:ascii="Calibri" w:hAnsi="Calibri"/>
          <w:color w:val="212121"/>
          <w:sz w:val="22"/>
          <w:szCs w:val="22"/>
        </w:rPr>
        <w:t>Board and committee meetings</w:t>
      </w:r>
    </w:p>
    <w:p>
      <w:pPr>
        <w:pStyle w:val="NormalWeb"/>
        <w:numPr>
          <w:ilvl w:val="0"/>
          <w:numId w:val="1"/>
        </w:numPr>
        <w:spacing w:lineRule="auto" w:line="240" w:before="280" w:after="0"/>
        <w:rPr/>
      </w:pPr>
      <w:r>
        <w:rPr>
          <w:rFonts w:cs="Calibri" w:ascii="Calibri" w:hAnsi="Calibri"/>
          <w:color w:val="212121"/>
          <w:sz w:val="22"/>
          <w:szCs w:val="22"/>
        </w:rPr>
        <w:t>Lead or participate in specific projects as directed by Committee Chairs or the Board Chair</w:t>
      </w:r>
    </w:p>
    <w:p>
      <w:pPr>
        <w:pStyle w:val="Western"/>
        <w:spacing w:lineRule="auto" w:line="240" w:before="280" w:after="0"/>
        <w:rPr/>
      </w:pPr>
      <w:r>
        <w:rPr>
          <w:rFonts w:cs="Calibri" w:ascii="Calibri" w:hAnsi="Calibri"/>
          <w:b/>
          <w:bCs/>
          <w:color w:val="212121"/>
          <w:sz w:val="22"/>
          <w:szCs w:val="22"/>
          <w:u w:val="single"/>
        </w:rPr>
        <w:t xml:space="preserve">Fiduciary </w:t>
      </w:r>
    </w:p>
    <w:p>
      <w:pPr>
        <w:pStyle w:val="NormalWeb"/>
        <w:numPr>
          <w:ilvl w:val="0"/>
          <w:numId w:val="2"/>
        </w:numPr>
        <w:spacing w:lineRule="auto" w:line="240" w:before="280" w:after="0"/>
        <w:rPr/>
      </w:pPr>
      <w:r>
        <w:rPr>
          <w:rFonts w:cs="Calibri" w:ascii="Calibri" w:hAnsi="Calibri"/>
          <w:color w:val="212121"/>
          <w:sz w:val="22"/>
          <w:szCs w:val="22"/>
        </w:rPr>
        <w:t xml:space="preserve">Review and discuss financial statements and budget related documents </w:t>
      </w:r>
    </w:p>
    <w:p>
      <w:pPr>
        <w:pStyle w:val="NormalWeb"/>
        <w:numPr>
          <w:ilvl w:val="0"/>
          <w:numId w:val="2"/>
        </w:numPr>
        <w:spacing w:lineRule="auto" w:line="240" w:before="280" w:after="0"/>
        <w:rPr>
          <w:color w:val="auto"/>
        </w:rPr>
      </w:pPr>
      <w:r>
        <w:rPr>
          <w:rFonts w:cs="Calibri" w:ascii="Calibri" w:hAnsi="Calibri"/>
          <w:color w:val="auto"/>
          <w:sz w:val="22"/>
          <w:szCs w:val="22"/>
        </w:rPr>
        <w:t>Give a meaningful personal financial donation, to the best of their ability, to Twin Cities Pride and be actively and personally involved in fundraising efforts</w:t>
      </w:r>
    </w:p>
    <w:p>
      <w:pPr>
        <w:pStyle w:val="NormalWeb"/>
        <w:numPr>
          <w:ilvl w:val="0"/>
          <w:numId w:val="2"/>
        </w:numPr>
        <w:spacing w:lineRule="auto" w:line="240" w:before="280" w:after="0"/>
        <w:rPr/>
      </w:pPr>
      <w:r>
        <w:rPr>
          <w:rFonts w:cs="Calibri" w:ascii="Calibri" w:hAnsi="Calibri"/>
          <w:color w:val="212121"/>
          <w:sz w:val="22"/>
          <w:szCs w:val="22"/>
        </w:rPr>
        <w:t>Engage in funding development, strategic planning, and the creation of organizational policy</w:t>
      </w:r>
    </w:p>
    <w:p>
      <w:pPr>
        <w:pStyle w:val="Western"/>
        <w:spacing w:lineRule="auto" w:line="240" w:before="280" w:after="0"/>
        <w:rPr/>
      </w:pPr>
      <w:r>
        <w:rPr>
          <w:rFonts w:cs="Calibri" w:ascii="Calibri" w:hAnsi="Calibri"/>
          <w:b/>
          <w:bCs/>
          <w:color w:val="212121"/>
          <w:sz w:val="22"/>
          <w:szCs w:val="22"/>
          <w:u w:val="single"/>
        </w:rPr>
        <w:t>Personal</w:t>
      </w:r>
    </w:p>
    <w:p>
      <w:pPr>
        <w:pStyle w:val="NormalWeb"/>
        <w:numPr>
          <w:ilvl w:val="0"/>
          <w:numId w:val="3"/>
        </w:numPr>
        <w:spacing w:lineRule="auto" w:line="240" w:before="280" w:after="0"/>
        <w:rPr>
          <w:color w:val="auto"/>
        </w:rPr>
      </w:pPr>
      <w:r>
        <w:rPr>
          <w:rFonts w:cs="Calibri" w:ascii="Calibri" w:hAnsi="Calibri"/>
          <w:color w:val="212121"/>
          <w:sz w:val="22"/>
          <w:szCs w:val="22"/>
        </w:rPr>
        <w:t xml:space="preserve">Accept and demonstrate the principles of </w:t>
      </w:r>
      <w:r>
        <w:rPr>
          <w:rFonts w:cs="Calibri" w:ascii="Calibri" w:hAnsi="Calibri"/>
          <w:color w:val="auto"/>
          <w:sz w:val="22"/>
          <w:szCs w:val="22"/>
        </w:rPr>
        <w:t>equality, equity, and diversity that characterize the LGBTQ+ and allied movement</w:t>
      </w:r>
    </w:p>
    <w:p>
      <w:pPr>
        <w:pStyle w:val="NormalWeb"/>
        <w:numPr>
          <w:ilvl w:val="0"/>
          <w:numId w:val="3"/>
        </w:numPr>
        <w:spacing w:lineRule="auto" w:line="240" w:before="280" w:after="0"/>
        <w:rPr/>
      </w:pPr>
      <w:r>
        <w:rPr>
          <w:rFonts w:cs="Calibri" w:ascii="Calibri" w:hAnsi="Calibri"/>
          <w:color w:val="212121"/>
          <w:sz w:val="22"/>
          <w:szCs w:val="22"/>
        </w:rPr>
        <w:t>Maintain the highest degree of personal ethics and conduct</w:t>
      </w:r>
    </w:p>
    <w:p>
      <w:pPr>
        <w:pStyle w:val="NormalWeb"/>
        <w:numPr>
          <w:ilvl w:val="0"/>
          <w:numId w:val="3"/>
        </w:numPr>
        <w:spacing w:lineRule="auto" w:line="240" w:before="280" w:after="0"/>
        <w:rPr/>
      </w:pPr>
      <w:r>
        <w:rPr>
          <w:rFonts w:cs="Calibri" w:ascii="Calibri" w:hAnsi="Calibri"/>
          <w:color w:val="212121"/>
          <w:sz w:val="22"/>
          <w:szCs w:val="22"/>
        </w:rPr>
        <w:t>Disclose any potential conflict of interest for review</w:t>
      </w:r>
    </w:p>
    <w:p>
      <w:pPr>
        <w:pStyle w:val="NormalWeb"/>
        <w:numPr>
          <w:ilvl w:val="0"/>
          <w:numId w:val="3"/>
        </w:numPr>
        <w:spacing w:lineRule="auto" w:line="240" w:before="280" w:after="0"/>
        <w:rPr/>
      </w:pPr>
      <w:r>
        <w:rPr>
          <w:rFonts w:cs="Calibri" w:ascii="Calibri" w:hAnsi="Calibri"/>
          <w:color w:val="212121"/>
          <w:sz w:val="22"/>
          <w:szCs w:val="22"/>
        </w:rPr>
        <w:t xml:space="preserve">Recruit and nominate others who will </w:t>
      </w:r>
      <w:r>
        <w:rPr>
          <w:rFonts w:cs="Calibri" w:ascii="Calibri" w:hAnsi="Calibri"/>
          <w:sz w:val="22"/>
          <w:szCs w:val="22"/>
        </w:rPr>
        <w:t>bring strength and diversity to the organization</w:t>
      </w:r>
    </w:p>
    <w:p>
      <w:pPr>
        <w:pStyle w:val="Western"/>
        <w:spacing w:lineRule="auto" w:line="240" w:before="280" w:after="0"/>
        <w:rPr/>
      </w:pPr>
      <w:r>
        <w:rPr>
          <w:rFonts w:cs="Calibri" w:ascii="Calibri" w:hAnsi="Calibri"/>
          <w:b/>
          <w:bCs/>
          <w:color w:val="212121"/>
          <w:sz w:val="22"/>
          <w:szCs w:val="22"/>
          <w:u w:val="single"/>
        </w:rPr>
        <w:t>Representative</w:t>
      </w:r>
    </w:p>
    <w:p>
      <w:pPr>
        <w:pStyle w:val="NormalWeb"/>
        <w:numPr>
          <w:ilvl w:val="0"/>
          <w:numId w:val="4"/>
        </w:numPr>
        <w:spacing w:lineRule="auto" w:line="240" w:before="280" w:after="0"/>
        <w:rPr>
          <w:color w:val="auto"/>
        </w:rPr>
      </w:pPr>
      <w:r>
        <w:rPr>
          <w:rFonts w:cs="Calibri" w:ascii="Calibri" w:hAnsi="Calibri"/>
          <w:color w:val="212121"/>
          <w:sz w:val="22"/>
          <w:szCs w:val="22"/>
        </w:rPr>
        <w:t xml:space="preserve">Act as a </w:t>
      </w:r>
      <w:r>
        <w:rPr>
          <w:rFonts w:cs="Calibri" w:ascii="Calibri" w:hAnsi="Calibri"/>
          <w:color w:val="auto"/>
          <w:sz w:val="22"/>
          <w:szCs w:val="22"/>
        </w:rPr>
        <w:t>good-will ambassador within the community</w:t>
      </w:r>
    </w:p>
    <w:p>
      <w:pPr>
        <w:pStyle w:val="NormalWeb"/>
        <w:numPr>
          <w:ilvl w:val="0"/>
          <w:numId w:val="4"/>
        </w:numPr>
        <w:spacing w:lineRule="auto" w:line="240" w:before="280" w:after="0"/>
        <w:rPr>
          <w:color w:val="auto"/>
        </w:rPr>
      </w:pPr>
      <w:r>
        <w:rPr>
          <w:rFonts w:cs="Calibri" w:ascii="Calibri" w:hAnsi="Calibri"/>
          <w:color w:val="auto"/>
          <w:sz w:val="22"/>
          <w:szCs w:val="22"/>
        </w:rPr>
        <w:t>Keep current on issues impacting the LGBTQ+ community in the Twin Cities, statewide, and nationally</w:t>
      </w:r>
    </w:p>
    <w:p>
      <w:pPr>
        <w:pStyle w:val="NormalWeb"/>
        <w:numPr>
          <w:ilvl w:val="0"/>
          <w:numId w:val="4"/>
        </w:numPr>
        <w:spacing w:lineRule="auto" w:line="240" w:before="280" w:after="0"/>
        <w:rPr/>
      </w:pPr>
      <w:r>
        <w:rPr>
          <w:rFonts w:cs="Calibri" w:ascii="Calibri" w:hAnsi="Calibri"/>
          <w:color w:val="auto"/>
          <w:sz w:val="22"/>
          <w:szCs w:val="22"/>
        </w:rPr>
        <w:t xml:space="preserve">Act as a liaison with sponsors and vendors during Pride </w:t>
      </w:r>
      <w:r>
        <w:rPr>
          <w:rFonts w:cs="Calibri" w:ascii="Calibri" w:hAnsi="Calibri"/>
          <w:sz w:val="22"/>
          <w:szCs w:val="22"/>
        </w:rPr>
        <w:t xml:space="preserve">events </w:t>
      </w:r>
    </w:p>
    <w:p>
      <w:pPr>
        <w:pStyle w:val="NormalWeb"/>
        <w:numPr>
          <w:ilvl w:val="0"/>
          <w:numId w:val="4"/>
        </w:numPr>
        <w:spacing w:lineRule="auto" w:line="240" w:before="280" w:after="0"/>
        <w:rPr/>
      </w:pPr>
      <w:r>
        <w:rPr>
          <w:rFonts w:cs="Calibri" w:ascii="Calibri" w:hAnsi="Calibri"/>
          <w:sz w:val="22"/>
          <w:szCs w:val="22"/>
        </w:rPr>
        <w:t>Represent Pride at community events, meetings, and conferences</w:t>
      </w:r>
    </w:p>
    <w:p>
      <w:pPr>
        <w:pStyle w:val="NormalWeb"/>
        <w:numPr>
          <w:ilvl w:val="0"/>
          <w:numId w:val="4"/>
        </w:numPr>
        <w:spacing w:lineRule="auto" w:line="240" w:before="280" w:after="0"/>
        <w:rPr/>
      </w:pPr>
      <w:r>
        <w:rPr>
          <w:rFonts w:cs="Calibri" w:ascii="Calibri" w:hAnsi="Calibri"/>
          <w:sz w:val="22"/>
          <w:szCs w:val="22"/>
        </w:rPr>
        <w:t>Identify and connect with potential partners and donors</w:t>
      </w:r>
    </w:p>
    <w:p>
      <w:pPr>
        <w:pStyle w:val="Western"/>
        <w:shd w:val="clear" w:color="auto" w:fill="CCCCCC"/>
        <w:spacing w:lineRule="auto" w:line="240" w:before="280" w:after="0"/>
        <w:rPr/>
      </w:pPr>
      <w:r>
        <w:rPr>
          <w:rFonts w:cs="Calibri" w:ascii="Calibri" w:hAnsi="Calibri"/>
          <w:b/>
          <w:bCs/>
          <w:color w:val="212121"/>
          <w:sz w:val="26"/>
          <w:szCs w:val="26"/>
        </w:rPr>
        <w:t>Compensation</w:t>
      </w:r>
    </w:p>
    <w:p>
      <w:pPr>
        <w:pStyle w:val="Western"/>
        <w:spacing w:lineRule="auto" w:line="240" w:before="280" w:after="0"/>
        <w:rPr/>
      </w:pPr>
      <w:r>
        <w:rPr>
          <w:rFonts w:cs="Calibri" w:ascii="Calibri" w:hAnsi="Calibri"/>
          <w:color w:val="212121"/>
          <w:sz w:val="22"/>
          <w:szCs w:val="22"/>
        </w:rPr>
        <w:t>All Board members participate on a strictly volunteer basis. Board members may not receive any financial compensation for their work related to Twin Cities Pride.</w:t>
      </w:r>
    </w:p>
    <w:sectPr>
      <w:footerReference w:type="default" r:id="rId2"/>
      <w:type w:val="nextPage"/>
      <w:pgSz w:w="12240" w:h="15840"/>
      <w:pgMar w:left="1440" w:right="1440" w:header="0" w:top="1440" w:footer="432"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Western"/>
      <w:pBdr>
        <w:bottom w:val="single" w:sz="6" w:space="1" w:color="000000"/>
      </w:pBdr>
      <w:spacing w:lineRule="auto" w:line="240" w:before="280" w:after="0"/>
      <w:rPr>
        <w:rFonts w:ascii="Calibri" w:hAnsi="Calibri" w:cs="Calibri"/>
        <w:sz w:val="22"/>
        <w:szCs w:val="22"/>
      </w:rPr>
    </w:pPr>
    <w:r>
      <w:rPr>
        <w:rFonts w:cs="Calibri" w:ascii="Calibri" w:hAnsi="Calibri"/>
        <w:sz w:val="22"/>
        <w:szCs w:val="22"/>
      </w:rPr>
    </w:r>
  </w:p>
  <w:p>
    <w:pPr>
      <w:pStyle w:val="Western"/>
      <w:spacing w:lineRule="auto" w:line="240" w:before="280" w:after="0"/>
      <w:rPr>
        <w:sz w:val="20"/>
        <w:szCs w:val="20"/>
      </w:rPr>
    </w:pPr>
    <w:r>
      <w:rPr>
        <w:rFonts w:cs="Calibri" w:ascii="Calibri" w:hAnsi="Calibri"/>
        <w:sz w:val="18"/>
        <w:szCs w:val="18"/>
      </w:rPr>
      <w:t>Twin Cities Pride – 2021 East Hennepin Ave, Suite 402-7, Minneapolis, MN 55413 – tcpride.org</w:t>
      <w:tab/>
      <w:tab/>
      <w:t xml:space="preserve">               v09222021</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22ef7"/>
    <w:rPr/>
  </w:style>
  <w:style w:type="character" w:styleId="FooterChar" w:customStyle="1">
    <w:name w:val="Footer Char"/>
    <w:basedOn w:val="DefaultParagraphFont"/>
    <w:link w:val="Footer"/>
    <w:uiPriority w:val="99"/>
    <w:qFormat/>
    <w:rsid w:val="00a22ef7"/>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cs="Symbol"/>
      <w:sz w:val="20"/>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Symbol"/>
      <w:sz w:val="20"/>
    </w:rPr>
  </w:style>
  <w:style w:type="character" w:styleId="ListLabel47">
    <w:name w:val="ListLabel 47"/>
    <w:qFormat/>
    <w:rPr>
      <w:rFonts w:cs="Courier New"/>
      <w:sz w:val="20"/>
    </w:rPr>
  </w:style>
  <w:style w:type="character" w:styleId="ListLabel48">
    <w:name w:val="ListLabel 48"/>
    <w:qFormat/>
    <w:rPr>
      <w:rFonts w:cs="Wingdings"/>
      <w:sz w:val="20"/>
    </w:rPr>
  </w:style>
  <w:style w:type="character" w:styleId="ListLabel49">
    <w:name w:val="ListLabel 49"/>
    <w:qFormat/>
    <w:rPr>
      <w:rFonts w:cs="Wingdings"/>
      <w:sz w:val="20"/>
    </w:rPr>
  </w:style>
  <w:style w:type="character" w:styleId="ListLabel50">
    <w:name w:val="ListLabel 50"/>
    <w:qFormat/>
    <w:rPr>
      <w:rFonts w:cs="Wingdings"/>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Symbol"/>
      <w:sz w:val="20"/>
    </w:rPr>
  </w:style>
  <w:style w:type="character" w:styleId="ListLabel56">
    <w:name w:val="ListLabel 56"/>
    <w:qFormat/>
    <w:rPr>
      <w:rFonts w:cs="Courier New"/>
      <w:sz w:val="20"/>
    </w:rPr>
  </w:style>
  <w:style w:type="character" w:styleId="ListLabel57">
    <w:name w:val="ListLabel 57"/>
    <w:qFormat/>
    <w:rPr>
      <w:rFonts w:cs="Wingdings"/>
      <w:sz w:val="20"/>
    </w:rPr>
  </w:style>
  <w:style w:type="character" w:styleId="ListLabel58">
    <w:name w:val="ListLabel 58"/>
    <w:qFormat/>
    <w:rPr>
      <w:rFonts w:cs="Wingdings"/>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Symbol"/>
      <w:sz w:val="20"/>
    </w:rPr>
  </w:style>
  <w:style w:type="character" w:styleId="ListLabel65">
    <w:name w:val="ListLabel 65"/>
    <w:qFormat/>
    <w:rPr>
      <w:rFonts w:cs="Courier New"/>
      <w:sz w:val="20"/>
    </w:rPr>
  </w:style>
  <w:style w:type="character" w:styleId="ListLabel66">
    <w:name w:val="ListLabel 66"/>
    <w:qFormat/>
    <w:rPr>
      <w:rFonts w:cs="Wingdings"/>
      <w:sz w:val="20"/>
    </w:rPr>
  </w:style>
  <w:style w:type="character" w:styleId="ListLabel67">
    <w:name w:val="ListLabel 67"/>
    <w:qFormat/>
    <w:rPr>
      <w:rFonts w:cs="Wingdings"/>
      <w:sz w:val="20"/>
    </w:rPr>
  </w:style>
  <w:style w:type="character" w:styleId="ListLabel68">
    <w:name w:val="ListLabel 68"/>
    <w:qFormat/>
    <w:rPr>
      <w:rFonts w:cs="Wingdings"/>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Symbol"/>
      <w:sz w:val="20"/>
    </w:rPr>
  </w:style>
  <w:style w:type="character" w:styleId="ListLabel74">
    <w:name w:val="ListLabel 74"/>
    <w:qFormat/>
    <w:rPr>
      <w:rFonts w:cs="Courier New"/>
      <w:sz w:val="20"/>
    </w:rPr>
  </w:style>
  <w:style w:type="character" w:styleId="ListLabel75">
    <w:name w:val="ListLabel 75"/>
    <w:qFormat/>
    <w:rPr>
      <w:rFonts w:cs="Wingdings"/>
      <w:sz w:val="20"/>
    </w:rPr>
  </w:style>
  <w:style w:type="character" w:styleId="ListLabel76">
    <w:name w:val="ListLabel 76"/>
    <w:qFormat/>
    <w:rPr>
      <w:rFonts w:cs="Wingdings"/>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cs="Symbol"/>
      <w:sz w:val="20"/>
    </w:rPr>
  </w:style>
  <w:style w:type="character" w:styleId="ListLabel83">
    <w:name w:val="ListLabel 83"/>
    <w:qFormat/>
    <w:rPr>
      <w:rFonts w:cs="Courier New"/>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cs="Symbol"/>
      <w:sz w:val="20"/>
    </w:rPr>
  </w:style>
  <w:style w:type="character" w:styleId="ListLabel92">
    <w:name w:val="ListLabel 92"/>
    <w:qFormat/>
    <w:rPr>
      <w:rFonts w:cs="Courier New"/>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Symbol"/>
      <w:sz w:val="20"/>
    </w:rPr>
  </w:style>
  <w:style w:type="character" w:styleId="ListLabel101">
    <w:name w:val="ListLabel 101"/>
    <w:qFormat/>
    <w:rPr>
      <w:rFonts w:cs="Courier New"/>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Web">
    <w:name w:val="Normal (Web)"/>
    <w:basedOn w:val="Normal"/>
    <w:uiPriority w:val="99"/>
    <w:semiHidden/>
    <w:unhideWhenUsed/>
    <w:qFormat/>
    <w:rsid w:val="00ed4504"/>
    <w:pPr>
      <w:spacing w:lineRule="auto" w:line="276" w:beforeAutospacing="1" w:after="144"/>
    </w:pPr>
    <w:rPr>
      <w:rFonts w:ascii="Times New Roman" w:hAnsi="Times New Roman" w:eastAsia="Times New Roman" w:cs="Times New Roman"/>
      <w:color w:val="000000"/>
      <w:sz w:val="24"/>
      <w:szCs w:val="24"/>
    </w:rPr>
  </w:style>
  <w:style w:type="paragraph" w:styleId="Western" w:customStyle="1">
    <w:name w:val="western"/>
    <w:basedOn w:val="Normal"/>
    <w:qFormat/>
    <w:rsid w:val="00ed4504"/>
    <w:pPr>
      <w:spacing w:lineRule="auto" w:line="276" w:beforeAutospacing="1" w:after="144"/>
    </w:pPr>
    <w:rPr>
      <w:rFonts w:ascii="Cambria" w:hAnsi="Cambria" w:eastAsia="Times New Roman" w:cs="Times New Roman"/>
      <w:color w:val="000000"/>
      <w:sz w:val="24"/>
      <w:szCs w:val="24"/>
    </w:rPr>
  </w:style>
  <w:style w:type="paragraph" w:styleId="Header">
    <w:name w:val="Header"/>
    <w:basedOn w:val="Normal"/>
    <w:link w:val="HeaderChar"/>
    <w:uiPriority w:val="99"/>
    <w:unhideWhenUsed/>
    <w:rsid w:val="00a22ef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22ef7"/>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Collabora_Office/6.2.10.10$Linux_X86_64 LibreOffice_project/0f626e17710d7d9da9fc1b4c0592a6907dd0cb96</Application>
  <Pages>3</Pages>
  <Words>788</Words>
  <Characters>4244</Characters>
  <CharactersWithSpaces>4998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2021-09-22T13:49:00Z</dcterms:created>
  <dc:creator>Chris Mattera</dc:creator>
  <dc:description/>
  <dc:language>en-US</dc:language>
  <cp:lastModifiedBy/>
  <dcterms:modified xsi:type="dcterms:W3CDTF">2021-10-04T21:49:35Z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